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67E99F4" w:rsidR="00A0571A" w:rsidRPr="00416FB2" w:rsidRDefault="008A2886" w:rsidP="006C6126">
      <w:pPr>
        <w:spacing w:line="276" w:lineRule="auto"/>
        <w:jc w:val="center"/>
        <w:rPr>
          <w:rFonts w:ascii="Arial" w:hAnsi="Arial" w:cs="Arial"/>
          <w:b/>
          <w:bCs/>
        </w:rPr>
      </w:pPr>
      <w:r>
        <w:rPr>
          <w:rStyle w:val="Gl"/>
          <w:rFonts w:ascii="Arial" w:hAnsi="Arial" w:cs="Arial"/>
        </w:rPr>
        <w:t>YAYIN VE İLETİŞİM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18D8B582"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8A2886">
        <w:rPr>
          <w:rFonts w:ascii="Arial" w:hAnsi="Arial" w:cs="Arial"/>
          <w:sz w:val="22"/>
          <w:szCs w:val="22"/>
        </w:rPr>
        <w:t>Yayın ve İletişim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59D8C3A" w:rsidR="003F57DD" w:rsidRPr="003F57DD" w:rsidRDefault="008A288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YAYIN VE İLETİŞİM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5B6C50ED" w:rsidR="0093273A" w:rsidRPr="0093273A" w:rsidRDefault="008A288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YAYIN VE İLETİŞİM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1C5A3771" w:rsidR="0093273A" w:rsidRPr="007145F7" w:rsidRDefault="008A288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YAYIN VE İLETİŞİM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5B6A3CC" w:rsidR="0093273A" w:rsidRPr="007145F7" w:rsidRDefault="008A288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YAYIN VE İLETİŞİM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A2886"/>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27EE5"/>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1539</Words>
  <Characters>8773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2026-05-20T19:47:00Z</dcterms:modified>
</cp:coreProperties>
</file>